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389</w:t>
      </w:r>
    </w:p>
    <w:p>
      <w:r>
        <w:t>Bundesgericht (BGE), 1983-09-20, DE</w:t>
      </w:r>
    </w:p>
    <w:p>
      <w:r>
        <w:rPr>
          <w:b/>
        </w:rPr>
        <w:t xml:space="preserve">Quelle: </w:t>
      </w:r>
      <w:r>
        <w:t>https://mcp.opencaselaw.ch/entscheid/bge_109 II 389</w:t>
      </w:r>
    </w:p>
    <w:p>
      <w:r>
        <w:t>FR: ATF 109 II 389</w:t>
      </w:r>
    </w:p>
    <w:p>
      <w:r>
        <w:t>IT: DTF 109 II 389</w:t>
      </w:r>
    </w:p>
    <w:p>
      <w:pPr>
        <w:pStyle w:val="Heading2"/>
      </w:pPr>
      <w:r>
        <w:t>Regeste</w:t>
      </w:r>
    </w:p>
    <w:p>
      <w:r>
        <w:t>Regeste Lidlohn (Art. 334 ZGB). 1. Als Lidlohn darf im Maximum jener Betrag zugesprochen werden, der nach üblichen Lohnansätzen den Netto-Gegenwert der geleisteten Arbeit darstellt. Die vom Schweizerischen Bauernsekretariat in Brugg ermittelten Lidlohnansätze werden vom Bundesgericht grundsätzlich als angemessen betrachtet. Aus Billigkeitsgründen dürfen sie im konkreten Fall bis zu den üblichen Lohnansätzen erhöht werden (E. 3). 2. Lidlohnforderungen sind nach neuem Recht nicht mehr erbrechtlicher Natur. Sie können daher durch letztwillige Verfügung nicht wegbedungen werden (E. 4-6).</w:t>
      </w:r>
    </w:p>
    <w:p>
      <w:pPr>
        <w:pStyle w:val="Heading2"/>
      </w:pPr>
      <w:r>
        <w:t>Erwägungen</w:t>
      </w:r>
    </w:p>
    <w:p>
      <w:r>
        <w:rPr>
          <w:b/>
        </w:rPr>
        <w:t>E. 3</w:t>
      </w:r>
    </w:p>
    <w:p>
      <w:r>
        <w:t>Nach Art. 334 Abs. 1 ZGB können mündige Kinder oder Grosskinder, die ihren Eltern oder Grosseltern in gemeinsamem Haushalt ihre Arbeit oder ihre Einkünfte zugewendet haben, hiefür eine angemessene Entschädigung verlangen. Über die Höhe dieser Entschädigung entscheidet im Streitfall der Richter ( Art. 334 Abs. 2 ZGB ), der seinen Entscheid nach Recht und Billigkeit zu treffen hat ( Art. 4 ZGB ). Eine solche Billigkeitsentscheidung verlangt, dass alle wesentlichen Besonderheiten des konkreten Falles beachtet werden. Das Bundesgericht ist zwar in deren Überprüfung frei; es übt aber bei der Überprüfung solcher Ermessensentscheide grosse Zurückhaltung aus ( BGE 100 II 437 und BGE 83 II 361 ). Es schreitet nur ein, wenn grundlos von den in Lehre und Rechtsprechung ermittelten Bemessungsgrundsätzen abgegangen wird oder wenn Tatsachen berücksichtigt werden, die für den Entscheid im Einzelfall keine Rolle hätten spielen dürfen oder wenn umgekehrt Umstände ausser Betracht geblieben sind, die gerade zwingend hätten beachtet werden müssen. Es greift ausserdem in Ermessensentscheide ein, wenn sich diese als offensichtlich unbillig, als in stossender Weise ungerecht erweisen. In BGE 100 II 437 f. hat das Bundesgericht festgestellt, dass die vom Schweizerischen Bauernsekretariat in Brugg ermittelten Lidlohnansätze grundsätzlich als angemessen zu betrachten seien. Diese Ansätze dürften wohl je nach den Umständen des Einzelfalles BGE 109 II 389 S. 392 reduziert, niemals aber erhöht werden. Immerhin hat das Bundesgericht diesen Grundsatz dann eingeschränkt, wenn sich ein Wille des Erblassers zu höheren Ansätzen ergebe oder ein solcher zu vermuten sei. Bereits in BGE 71 II 78 ging das Bundesgericht über die Ansätze des Bauernsekretariates hinaus, weil eine Ausgleichung nur nach diesen Ansätzen in jenem konkreten Fall nicht als billig erschien, nachdem die Söhne eine die für sie errechneten Ziffern beinahe um das Doppelte übersteigende Vergütung erhalten hatten und behalten durften. Die bundesgerichtliche Rechtsprechung steht daher trotz der - im konkreten Fall verständlichen, aber dennoch allzu absoluten - Formulierung in BGE 100 II 437 aus Billigkeitsgründen einer Erhöhung der Ansätze des Bauernsekretariates nicht entgegen. Immer aber gilt, dass im Maximum jener Betrag als Lidlohn zugesprochen werden kann, der nach üblichen Lohnansätzen den Netto-Gegenwert der geleisteten Arbeit darstellt ( BGE 100 II 438 ).</w:t>
      </w:r>
    </w:p>
    <w:p>
      <w:r>
        <w:rPr>
          <w:b/>
        </w:rPr>
        <w:t>E. 4</w:t>
      </w:r>
    </w:p>
    <w:p>
      <w:r>
        <w:t>Im vorliegenden Fall steht fest, dass die Klägerin für die 18 Jahre ihrer Mitarbeit auf dem Bauernhof ihres Vaters Fr. 17'800.-- von diesem selbst erhalten hat. Der Erblasser hat in seinem Testament sodann festgehalten, dass der Lidlohnanspruch seiner Tochter abgegolten sei. Er hat damit zum Ausdruck gebracht, dass dieser über den zu jener Zeit ausbezahlten Betrag hinaus keine weitere Forderung mehr zustehe. Die Vorinstanz hat jedoch zu Recht auf diese testamentarische Willensäusserung des Erblassers nicht abgestellt. Sie hat vielmehr erklärt, dass der Lidlohn als Erbschaftsschuld im Sinne des Art. 603 Abs. 2 ZGB weder ganz noch teilweise vom Erblasser durch letztwillige Verfügung unterdrückt werden könne. Es handle sich dabei um einen obligatorischen Anspruch, der dem Berechtigten von Gesetzes wegen zustehe, der somit unabhängig vom erblasserischen Willen nach dessen Tod wie irgend eine Drittforderung den Erben gegenüber geltend gemacht werden könne, und zwar gegebenenfalls bis zum Betrage des Nettonachlasses ( Art. 603 Abs. 2 ZGB ). Dem Lidlohnberechtigten müsse deshalb auch das Recht zustehen, entgegen einer ausdrücklichen letztwilligen Verfügung des Erblassers einen höheren Anspruch geltend zu machen, als ihm der Erblasser testamentarisch zugestehen wollte. Die Höhe der Entschädigung richte sich ausschliesslich nach den im Rahmen des richterlichen Ermessens im Einzelfall wesentlichen Bemessungsfaktoren und nicht nach dem Willen des Erblassers. Der Lidlohnanspruch könne deshalb entgegen dem Willen des Erblassers auch über die auf BGE 109 II 389 S. 393 Durchschnittszahlen beruhenden Ansätze des Bauernsekretariates hinausgehen, wenn dies auf Grund der Besonderheiten des Einzelfalles als gerechtfertigt erscheine. Als Umstand, der eine Erhöhung dieser Ansätze rechtfertigen könne, falle insbesondere in Betracht, dass der Erblasser die vergleichbare Arbeit eines andern Hauskindes erheblich höher entschädigt habe, als es den Ansätzen des Bauernsekretariates entsprochen hätte ( BGE 71 II 78 ). Das Obergericht hat diese Voraussetzung bejaht und erklärt, dass der Klägerin ein Anspruch zustehe, der sich proportional zu der dem Beklagten ausser dem bezahlten Lidlohn noch zusätzlich ausgerichteten Entschädigung für seine Mitarbeit auf dem väterlichen Hof berechne. Ihr Anspruch belaufe sich demnach auf insgesamt Fr. 38'147.--. Nach dem Vorbezug von Fr. 17'800.-- ständen ihr somit heute noch Fr. 20'347.-- zu. Da sie jedoch nicht appelliert habe, müsse es bei dem ihr vom Bezirksgericht zugesprochenen Betrag von Fr. 13'500.-- sein Bewenden haben.</w:t>
      </w:r>
    </w:p>
    <w:p>
      <w:r>
        <w:rPr>
          <w:b/>
        </w:rPr>
        <w:t>E. 5</w:t>
      </w:r>
    </w:p>
    <w:p>
      <w:r>
        <w:t>Der Beklagte bestreitet die von der Vorinstanz aufgestellten Grundsätze an sich nicht. Insbesondere schliesst er sich der Auffassung an, dass der Erblasser den Lidlohnanspruch nicht gänzlich wegbedingen könne. Indessen ist er der Ansicht, dass diese Einschränkung der Verfügungsfreiheit des Erblassers durch Art. 334 und 603 Abs. 2 ZGB nur soweit reichen könne, als der Zweck von Art. 334 ZGB nicht gefährdet werde. Zweck dieser Bestimmung sei es, mündigen Kindern, die ihren Eltern im gemeinsamen Haushalt ihre Arbeit zugewendet hätten, gleichsam als Vorausgleichung, eine angemessene Entschädigung zu verschaffen. Das Obergericht verleihe nun aber den Lidlohnbestimmungen des ZGB eine viel weitreichendere Bedeutung als die soeben genannte. Es betrachte nicht nur diejenige Lidlohnentschädigung in jedem Fall als angemessen, welche (proportional) den anderen Kindern in irgend einer Form als Arbeitsentschädigung zugekommen sei, es wolle den so bemessenen Anspruch zudem auch dann gewähren, wenn der Erblasser ausdrücklich anders verfügt habe. Dies habe erstens nichts mehr mit der angemessenen "Vorausgleichung" für "hypothetische Ersparnis" gemäss Lidlohnrecht zu tun und könne zweitens ad absurdum führen, nämlich dann, wenn ein Vater seinem Kind für geleistete Arbeit einen beträchtlichen Vermögensteil schenke. Dann hätten, nach der Auslegung der Vorinstanz, alle übrigen Kinder, welche die sonstigen Voraussetzungen von Art. 334 ZGB erfüllen, den (proportional) gleichen Lidlohnanspruch. Die Auffassung des Obergerichts könne so dazu führen, BGE 109 II 389 S. 394 dass das Lidlohnrecht das Ausgleichungsrecht gemäss Art. 626 ff. ZGB völlig verdränge.</w:t>
      </w:r>
    </w:p>
    <w:p>
      <w:r>
        <w:rPr>
          <w:b/>
        </w:rPr>
        <w:t>E. 6</w:t>
      </w:r>
    </w:p>
    <w:p>
      <w:r>
        <w:t>Diese Einwände des Beklagten vermögen nichts daran zu ändern, dass zumindest im Ergebnis der Vorinstanz darin zu folgen ist, dass der Klägerin noch ein zusätzlicher Anspruch auf Lidlohn im Betrage von Fr. 13'500.-- zusteht. Diese Lösung drängt sich im vorliegenden Fall angesichts der konkreten Umstände geradezu auf. Ein anderer Entscheid würde ganz offensichtlich den Grundsätzen von Recht und Billigkeit und der Gerechtigkeit in stossender Weise widersprechen. Es steht fest, dass die Klägerin für ihre 18jährige Mitarbeit und dafür, dass sie zudem während Jahren ihren Fabriklohn dem Vater abgegeben hat, von diesem nur gerade mit Fr. 3800.-- hätte abgefunden werden sollen. Erst die Berechnungen des Schweizerischen Bauernsekretariates und die Einleitung des Sühneverfahrens veranlassten den Erblasser, seiner Tochter dazu noch Fr. 14'000.-- auszuzahlen. Wie die Vorinstanz selbst ausgeführt hat, wäre damit grundsätzlich der Lidlohnanspruch abgegolten worden, wenn auf die Zahlen des Bauernsekretariates abgestellt würde. Indessen hat das Obergericht noch berücksichtigt, dass dem Sohn zwar beim Abschluss des Kaufvertrages nur Fr. 78'000.-- als Lidlohn angerechnet wurden, womit die Ansätze des Bauernsekretariates ebenfalls unterschritten wurden. Doch erhielt der Beklagte zu Lebzeiten des Erblassers von diesem als Entschädigung für seine Arbeitsleistungen weitere Zuwendungen, die sich nach den Berechnungen der Vorinstanz auf Fr. 124'300.-- beliefen (Barlohn Fr. 103'700.--, Zuwendungen für Kauf von Grundstücken Fr. 20'600.--). Wie in BGE 71 II 79 vom Bundesgericht festgehalten wurde, darf zwar ein Hausvater mit einer Lohnentschädigung inter vivos über das hinausgehen, worauf aArt. 633 ZGB Anspruch gab. Gleiches gilt wohl auch unter neuem Recht. Eine solche "unangemessene", übersetzte Entschädigung für einzelne Hauskinder kann aus Billigkeitsgründen dem mit dem Streit befassten Richter daher auch nach heutigem Recht Anlass geben, die "angemessene Entschädigung", die nach Art. 334 Abs. 2 und 603 Abs. 2 ZGB allen lidlohnberechtigten Kindern zusteht, entsprechend zu erhöhen. Es geht dabei um einen familienrechtlichen Lohnanspruch analog zu Art. 320 OR und nicht um eine Art "Vorausgleichung", somit nicht um einen Erbanspruch, wie das der Beklagte unter Berufung auf aArt. 633 ZGB darzulegen versucht. Wenn die Vorinstanz diesen Lohnanspruch im Rahmen dessen, was der Erblasser seinem Sohn als Arbeitsentschädigung BGE 109 II 389 S. 395 zukommen liess, proportional auch der Tochter zuerkannt hat, so liegt das im Ermessensbereich des Sachrichters, der nicht überschritten wurde. Dass dieser sich über den Willen des Erblassers hinweggesetzt hat, verstösst nicht gegen Art. 334 Abs. 2 und 603 Abs. 2 ZGB. Wie der Beklagte selbst anerkannt hat, ist der Erblasser nicht befugt, verbindlich die Angemessenheit der Lidlohnansprüche zu bestimmmen und damit deren Überprüfung zum Nachteil einzelner Kinder auszuschliessen. Ob die Berechnungsweise der Vorinstanz theoretisch dazu führen könnte, das Ausgleichungsrecht der Art. 626 ff. ZGB zu verdrängen, kann offen bleiben. Lidlohnforderungen sind nach neuem Recht nicht mehr erbrechtlicher Natur (vgl. NEUKOMM/CZETTLER, Das bäuerliche Erbrecht, 5. Aufl., S. 177/78). Sie berühren als obligatorische Forderungen das Erbrecht nur insofern, als der Umfang der Zahlungspflicht gemildert und die Haftung der Erben im Maximum auf den Nettonachlass begrenzt ist ( Art. 603 Abs. 2 ZGB ) und als der Zeitpunkt der Fälligkeit hinausgeschoben werden kann ( BGE 100 II 438 , Art. 334bis ZGB ). Die Ausgleichungspflicht im Sinne der Art. 626 ff. ZGB für Lidlohnentschädigungen, die den Rahmen der Angemessenheit zum Vorteil des Begünstigten und zum Nachteil anderer Erben sprengen, wird dadurch nicht 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